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33A87857"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ko-KR"/>
        </w:rPr>
      </w:pPr>
      <w:r>
        <w:rPr>
          <w:rFonts w:ascii="Arial" w:eastAsia="MS Mincho" w:hAnsi="Arial"/>
          <w:b/>
          <w:sz w:val="24"/>
          <w:szCs w:val="24"/>
          <w:lang w:eastAsia="x-none"/>
        </w:rPr>
        <w:t>3GPP TSG-RAN WG2 Meeting #10</w:t>
      </w:r>
      <w:r w:rsidR="00DE352E">
        <w:rPr>
          <w:rFonts w:ascii="Arial" w:eastAsia="MS Mincho" w:hAnsi="Arial"/>
          <w:b/>
          <w:sz w:val="24"/>
          <w:szCs w:val="24"/>
          <w:lang w:eastAsia="x-none"/>
        </w:rPr>
        <w:t>9</w:t>
      </w:r>
      <w:r w:rsidRPr="00443935">
        <w:rPr>
          <w:rFonts w:ascii="Arial" w:eastAsia="MS Mincho" w:hAnsi="Arial"/>
          <w:b/>
          <w:sz w:val="24"/>
          <w:szCs w:val="24"/>
          <w:lang w:eastAsia="x-none"/>
        </w:rPr>
        <w:tab/>
      </w:r>
      <w:r w:rsidR="0087634A" w:rsidRPr="0087634A">
        <w:rPr>
          <w:rFonts w:ascii="Arial" w:eastAsia="MS Mincho" w:hAnsi="Arial"/>
          <w:b/>
          <w:sz w:val="24"/>
          <w:szCs w:val="24"/>
          <w:lang w:eastAsia="x-none"/>
        </w:rPr>
        <w:t>R2-</w:t>
      </w:r>
      <w:r w:rsidR="00B63E32" w:rsidRPr="00B63E32">
        <w:t xml:space="preserve"> </w:t>
      </w:r>
      <w:r w:rsidR="00B63E32" w:rsidRPr="00B63E32">
        <w:rPr>
          <w:rFonts w:ascii="Arial" w:eastAsia="MS Mincho" w:hAnsi="Arial"/>
          <w:b/>
          <w:sz w:val="24"/>
          <w:szCs w:val="24"/>
          <w:lang w:eastAsia="x-none"/>
        </w:rPr>
        <w:t>2001539</w:t>
      </w:r>
    </w:p>
    <w:p w14:paraId="1A54A4EB" w14:textId="1D667AE3" w:rsidR="006620A0" w:rsidRPr="00443935" w:rsidRDefault="00DE352E" w:rsidP="006620A0">
      <w:pPr>
        <w:widowControl w:val="0"/>
        <w:tabs>
          <w:tab w:val="left" w:pos="1701"/>
          <w:tab w:val="right" w:pos="9923"/>
        </w:tabs>
        <w:spacing w:before="120" w:after="0"/>
        <w:rPr>
          <w:rFonts w:ascii="Arial" w:eastAsia="MS Mincho" w:hAnsi="Arial"/>
          <w:b/>
          <w:sz w:val="24"/>
          <w:szCs w:val="24"/>
          <w:lang w:eastAsia="ko-KR"/>
        </w:rPr>
      </w:pPr>
      <w:r>
        <w:rPr>
          <w:rFonts w:ascii="Arial" w:eastAsia="MS Mincho" w:hAnsi="Arial"/>
          <w:b/>
          <w:sz w:val="24"/>
          <w:szCs w:val="24"/>
          <w:lang w:eastAsia="x-none"/>
        </w:rPr>
        <w:t>E-Meeting</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24</w:t>
      </w:r>
      <w:r w:rsidR="00B40AB1" w:rsidRPr="00B40AB1">
        <w:rPr>
          <w:rFonts w:ascii="Arial" w:eastAsia="MS Mincho" w:hAnsi="Arial"/>
          <w:b/>
          <w:sz w:val="24"/>
          <w:szCs w:val="24"/>
          <w:lang w:eastAsia="x-none"/>
        </w:rPr>
        <w:t xml:space="preserve">th </w:t>
      </w:r>
      <w:r>
        <w:rPr>
          <w:rFonts w:ascii="Arial" w:eastAsia="MS Mincho" w:hAnsi="Arial"/>
          <w:b/>
          <w:sz w:val="24"/>
          <w:szCs w:val="24"/>
          <w:lang w:eastAsia="x-none"/>
        </w:rPr>
        <w:t xml:space="preserve">Feb </w:t>
      </w:r>
      <w:r w:rsidR="0087634A">
        <w:rPr>
          <w:rFonts w:ascii="Arial" w:eastAsia="MS Mincho" w:hAnsi="Arial"/>
          <w:b/>
          <w:sz w:val="24"/>
          <w:szCs w:val="24"/>
          <w:lang w:eastAsia="x-none"/>
        </w:rPr>
        <w:t>–</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6th</w:t>
      </w:r>
      <w:r w:rsidR="00B40AB1" w:rsidRPr="00B40AB1">
        <w:rPr>
          <w:rFonts w:ascii="Arial" w:eastAsia="MS Mincho" w:hAnsi="Arial"/>
          <w:b/>
          <w:sz w:val="24"/>
          <w:szCs w:val="24"/>
          <w:lang w:eastAsia="x-none"/>
        </w:rPr>
        <w:t xml:space="preserve"> </w:t>
      </w:r>
      <w:r>
        <w:rPr>
          <w:rFonts w:ascii="Arial" w:eastAsia="MS Mincho" w:hAnsi="Arial"/>
          <w:b/>
          <w:sz w:val="24"/>
          <w:szCs w:val="24"/>
          <w:lang w:eastAsia="x-none"/>
        </w:rPr>
        <w:t>Mar</w:t>
      </w:r>
      <w:r w:rsidR="00B40AB1" w:rsidRPr="00B40AB1">
        <w:rPr>
          <w:rFonts w:ascii="Arial" w:eastAsia="MS Mincho" w:hAnsi="Arial"/>
          <w:b/>
          <w:sz w:val="24"/>
          <w:szCs w:val="24"/>
          <w:lang w:eastAsia="x-none"/>
        </w:rPr>
        <w:t xml:space="preserve"> 20</w:t>
      </w:r>
      <w:r>
        <w:rPr>
          <w:rFonts w:ascii="Arial" w:eastAsia="MS Mincho" w:hAnsi="Arial"/>
          <w:b/>
          <w:sz w:val="24"/>
          <w:szCs w:val="24"/>
          <w:lang w:eastAsia="x-none"/>
        </w:rPr>
        <w:t>20</w:t>
      </w:r>
      <w:r w:rsidR="00D75645">
        <w:rPr>
          <w:rFonts w:ascii="Arial" w:eastAsia="MS Mincho" w:hAnsi="Arial"/>
          <w:b/>
          <w:sz w:val="24"/>
          <w:szCs w:val="24"/>
          <w:lang w:eastAsia="x-none"/>
        </w:rPr>
        <w:tab/>
      </w:r>
      <w:r w:rsidR="00D75645" w:rsidRPr="00D75645">
        <w:rPr>
          <w:rFonts w:ascii="Arial" w:eastAsia="MS Mincho" w:hAnsi="Arial" w:hint="eastAsia"/>
          <w:b/>
          <w:sz w:val="24"/>
          <w:szCs w:val="24"/>
          <w:lang w:eastAsia="x-none"/>
        </w:rPr>
        <w:t>Rev</w:t>
      </w:r>
      <w:r w:rsidR="00D75645" w:rsidRPr="00D75645">
        <w:rPr>
          <w:rFonts w:ascii="Arial" w:eastAsia="MS Mincho" w:hAnsi="Arial"/>
          <w:b/>
          <w:sz w:val="24"/>
          <w:szCs w:val="24"/>
          <w:lang w:eastAsia="x-none"/>
        </w:rPr>
        <w:t xml:space="preserve">ision of </w:t>
      </w:r>
      <w:r w:rsidR="00D75645" w:rsidRPr="00A417BA">
        <w:rPr>
          <w:rFonts w:ascii="Arial" w:eastAsia="MS Mincho" w:hAnsi="Arial"/>
          <w:b/>
          <w:sz w:val="24"/>
          <w:szCs w:val="24"/>
          <w:lang w:eastAsia="x-none"/>
        </w:rPr>
        <w:t>R2-</w:t>
      </w:r>
      <w:r w:rsidRPr="0087634A">
        <w:rPr>
          <w:rFonts w:ascii="Arial" w:eastAsia="MS Mincho" w:hAnsi="Arial"/>
          <w:b/>
          <w:sz w:val="24"/>
          <w:szCs w:val="24"/>
          <w:lang w:eastAsia="x-none"/>
        </w:rPr>
        <w:t>1</w:t>
      </w:r>
      <w:bookmarkStart w:id="0" w:name="_GoBack"/>
      <w:bookmarkEnd w:id="0"/>
      <w:r w:rsidRPr="0087634A">
        <w:rPr>
          <w:rFonts w:ascii="Arial" w:eastAsia="MS Mincho" w:hAnsi="Arial"/>
          <w:b/>
          <w:sz w:val="24"/>
          <w:szCs w:val="24"/>
          <w:lang w:eastAsia="x-none"/>
        </w:rPr>
        <w:t>916210</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14DDBD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DE352E">
        <w:rPr>
          <w:rFonts w:ascii="Arial" w:hAnsi="Arial" w:cs="Arial"/>
          <w:b/>
          <w:sz w:val="28"/>
          <w:szCs w:val="28"/>
          <w:lang w:val="it-IT" w:eastAsia="ko-KR"/>
        </w:rPr>
        <w:t>7.3.2.2.2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2D21B0E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C64DA7" w:rsidRPr="00C64DA7">
        <w:rPr>
          <w:rFonts w:ascii="Arial" w:hAnsi="Arial" w:cs="Arial"/>
          <w:b/>
          <w:noProof/>
          <w:sz w:val="28"/>
          <w:szCs w:val="28"/>
          <w:lang w:val="en-US" w:eastAsia="ko-KR"/>
        </w:rPr>
        <w:t>Handling Excess of UE Capability in DAPS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12D63449" w14:textId="5ACEA6D1" w:rsidR="00C64DA7" w:rsidRPr="00C64DA7" w:rsidRDefault="00C64DA7" w:rsidP="00C64DA7">
      <w:pPr>
        <w:pStyle w:val="ad"/>
        <w:tabs>
          <w:tab w:val="right" w:pos="9639"/>
        </w:tabs>
        <w:spacing w:before="120"/>
        <w:rPr>
          <w:rFonts w:eastAsia="바탕"/>
          <w:sz w:val="20"/>
          <w:lang w:val="en-GB" w:eastAsia="ko-KR"/>
        </w:rPr>
      </w:pPr>
      <w:r w:rsidRPr="00C64DA7">
        <w:rPr>
          <w:rFonts w:eastAsia="바탕"/>
          <w:sz w:val="20"/>
          <w:lang w:val="en-GB" w:eastAsia="ko-KR"/>
        </w:rPr>
        <w:t xml:space="preserve">In </w:t>
      </w:r>
      <w:r w:rsidR="00D75645">
        <w:rPr>
          <w:rFonts w:eastAsia="바탕"/>
          <w:sz w:val="20"/>
          <w:lang w:val="en-GB" w:eastAsia="ko-KR"/>
        </w:rPr>
        <w:t xml:space="preserve">the previous </w:t>
      </w:r>
      <w:r w:rsidRPr="00C64DA7">
        <w:rPr>
          <w:rFonts w:eastAsia="바탕"/>
          <w:sz w:val="20"/>
          <w:lang w:val="en-GB" w:eastAsia="ko-KR"/>
        </w:rPr>
        <w:t xml:space="preserve">RAN2 meeting, </w:t>
      </w:r>
      <w:r>
        <w:rPr>
          <w:rFonts w:eastAsia="바탕"/>
          <w:sz w:val="20"/>
          <w:lang w:val="en-GB" w:eastAsia="ko-KR"/>
        </w:rPr>
        <w:t xml:space="preserve">RAN2 made following agreement for </w:t>
      </w:r>
      <w:r w:rsidR="00202B9D">
        <w:rPr>
          <w:rFonts w:eastAsia="바탕"/>
          <w:sz w:val="20"/>
          <w:lang w:val="en-GB" w:eastAsia="ko-KR"/>
        </w:rPr>
        <w:t xml:space="preserve">the </w:t>
      </w:r>
      <w:r w:rsidR="00D75645">
        <w:rPr>
          <w:rFonts w:eastAsia="바탕"/>
          <w:sz w:val="20"/>
          <w:lang w:val="en-GB" w:eastAsia="ko-KR"/>
        </w:rPr>
        <w:t xml:space="preserve">capability of </w:t>
      </w:r>
      <w:r w:rsidRPr="00C64DA7">
        <w:rPr>
          <w:rFonts w:eastAsia="바탕"/>
          <w:sz w:val="20"/>
          <w:lang w:val="en-GB" w:eastAsia="ko-KR"/>
        </w:rPr>
        <w:t xml:space="preserve">the dual active protocol stacks (DAPS) </w:t>
      </w:r>
      <w:r>
        <w:rPr>
          <w:rFonts w:eastAsia="바탕"/>
          <w:sz w:val="20"/>
          <w:lang w:val="en-GB" w:eastAsia="ko-KR"/>
        </w:rPr>
        <w:t>handover:</w:t>
      </w:r>
      <w:r w:rsidRPr="00C64DA7">
        <w:rPr>
          <w:rFonts w:eastAsia="바탕"/>
          <w:sz w:val="20"/>
          <w:lang w:val="en-GB" w:eastAsia="ko-KR"/>
        </w:rPr>
        <w:t xml:space="preserve">  </w:t>
      </w:r>
    </w:p>
    <w:p w14:paraId="3EA090D6" w14:textId="77777777" w:rsidR="00C64DA7" w:rsidRDefault="00C64DA7" w:rsidP="00C64DA7">
      <w:pPr>
        <w:pStyle w:val="Doc-text2"/>
        <w:pBdr>
          <w:top w:val="single" w:sz="4" w:space="1" w:color="auto"/>
          <w:left w:val="single" w:sz="4" w:space="4" w:color="auto"/>
          <w:bottom w:val="single" w:sz="4" w:space="1" w:color="auto"/>
          <w:right w:val="single" w:sz="4" w:space="4" w:color="auto"/>
        </w:pBdr>
        <w:ind w:left="363"/>
      </w:pPr>
      <w:r>
        <w:t>Agreements</w:t>
      </w:r>
    </w:p>
    <w:p w14:paraId="44177A9A" w14:textId="3BDE6B2E" w:rsidR="00D75645" w:rsidRPr="00D75645"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If capability coordination is used, source and target cell configurations ensure UE capabilities are not exceeded (like now).</w:t>
      </w:r>
    </w:p>
    <w:p w14:paraId="53C73405" w14:textId="5EC2A950" w:rsidR="00D75645" w:rsidRPr="00D75645"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 xml:space="preserve">If UE capabilities are exceeded, UE behaviour is unspecified. </w:t>
      </w:r>
    </w:p>
    <w:p w14:paraId="7C348059" w14:textId="6CE64797" w:rsidR="008B5D0B" w:rsidRPr="00C64DA7" w:rsidRDefault="00D75645" w:rsidP="00D75645">
      <w:pPr>
        <w:pStyle w:val="Doc-text2"/>
        <w:pBdr>
          <w:top w:val="single" w:sz="4" w:space="1" w:color="auto"/>
          <w:left w:val="single" w:sz="4" w:space="4" w:color="auto"/>
          <w:bottom w:val="single" w:sz="4" w:space="1" w:color="auto"/>
          <w:right w:val="single" w:sz="4" w:space="4" w:color="auto"/>
        </w:pBdr>
        <w:ind w:left="363"/>
      </w:pPr>
      <w:r w:rsidRPr="00D75645">
        <w:t xml:space="preserve">FFS if we specify behaviour for specific capabilities (e.g. UL </w:t>
      </w:r>
      <w:proofErr w:type="spellStart"/>
      <w:proofErr w:type="gramStart"/>
      <w:r w:rsidRPr="00D75645">
        <w:t>tx</w:t>
      </w:r>
      <w:proofErr w:type="spellEnd"/>
      <w:proofErr w:type="gramEnd"/>
      <w:r w:rsidRPr="00D75645">
        <w:t xml:space="preserve"> power) or </w:t>
      </w:r>
      <w:proofErr w:type="spellStart"/>
      <w:r w:rsidRPr="00D75645">
        <w:t>fallback</w:t>
      </w:r>
      <w:proofErr w:type="spellEnd"/>
      <w:r w:rsidRPr="00D75645">
        <w:t xml:space="preserve"> to legacy handover (given that UE doesn’t know whether network uses capability coordination). Will discuss these based on company contributions.</w:t>
      </w:r>
    </w:p>
    <w:p w14:paraId="4C3ECF2E" w14:textId="2C5B7EF2"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8B5D0B">
        <w:rPr>
          <w:lang w:eastAsia="ko-KR"/>
        </w:rPr>
        <w:t xml:space="preserve">discuss </w:t>
      </w:r>
      <w:r w:rsidR="00C64DA7">
        <w:rPr>
          <w:lang w:eastAsia="ko-KR"/>
        </w:rPr>
        <w:t xml:space="preserve">some point related cases that </w:t>
      </w:r>
      <w:r w:rsidR="001761BC">
        <w:rPr>
          <w:lang w:eastAsia="ko-KR"/>
        </w:rPr>
        <w:t xml:space="preserve">the </w:t>
      </w:r>
      <w:r w:rsidR="00C64DA7">
        <w:rPr>
          <w:lang w:eastAsia="ko-KR"/>
        </w:rPr>
        <w:t>DAPS HO command exceed</w:t>
      </w:r>
      <w:r w:rsidR="001761BC">
        <w:rPr>
          <w:lang w:eastAsia="ko-KR"/>
        </w:rPr>
        <w:t>s</w:t>
      </w:r>
      <w:r w:rsidR="00C64DA7">
        <w:rPr>
          <w:lang w:eastAsia="ko-KR"/>
        </w:rPr>
        <w:t xml:space="preserve"> the UE capability.</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4EB06C6" w14:textId="15104A5A" w:rsidR="00962762" w:rsidRDefault="00522F19" w:rsidP="00522F19">
      <w:pPr>
        <w:rPr>
          <w:bCs/>
          <w:lang w:eastAsia="ko-KR"/>
        </w:rPr>
      </w:pPr>
      <w:r w:rsidRPr="00522F19">
        <w:rPr>
          <w:bCs/>
          <w:lang w:eastAsia="ko-KR"/>
        </w:rPr>
        <w:t xml:space="preserve">For the DAPS HO, </w:t>
      </w:r>
      <w:r w:rsidR="005D2DE1">
        <w:rPr>
          <w:bCs/>
          <w:lang w:eastAsia="ko-KR"/>
        </w:rPr>
        <w:t xml:space="preserve">the RAN2 </w:t>
      </w:r>
      <w:r w:rsidR="00A22468">
        <w:rPr>
          <w:bCs/>
          <w:lang w:eastAsia="ko-KR"/>
        </w:rPr>
        <w:t xml:space="preserve">made </w:t>
      </w:r>
      <w:r w:rsidR="00202B9D">
        <w:rPr>
          <w:bCs/>
          <w:lang w:eastAsia="ko-KR"/>
        </w:rPr>
        <w:t xml:space="preserve">the </w:t>
      </w:r>
      <w:r w:rsidR="00A22468">
        <w:rPr>
          <w:bCs/>
          <w:lang w:eastAsia="ko-KR"/>
        </w:rPr>
        <w:t>agreement</w:t>
      </w:r>
      <w:r w:rsidR="005D2DE1">
        <w:rPr>
          <w:bCs/>
          <w:lang w:eastAsia="ko-KR"/>
        </w:rPr>
        <w:t xml:space="preserve"> that the UE maintains the source cell connection (partially) until </w:t>
      </w:r>
      <w:r w:rsidR="00202B9D">
        <w:rPr>
          <w:bCs/>
          <w:lang w:eastAsia="ko-KR"/>
        </w:rPr>
        <w:t xml:space="preserve">the </w:t>
      </w:r>
      <w:r w:rsidR="005D2DE1">
        <w:rPr>
          <w:bCs/>
          <w:lang w:eastAsia="ko-KR"/>
        </w:rPr>
        <w:t>target cell release the source configuration after HO complete</w:t>
      </w:r>
      <w:r w:rsidR="00453314">
        <w:rPr>
          <w:bCs/>
          <w:lang w:eastAsia="ko-KR"/>
        </w:rPr>
        <w:t>.</w:t>
      </w:r>
      <w:r w:rsidR="00453314">
        <w:rPr>
          <w:rFonts w:hint="eastAsia"/>
          <w:bCs/>
          <w:lang w:eastAsia="ko-KR"/>
        </w:rPr>
        <w:t xml:space="preserve"> </w:t>
      </w:r>
      <w:r w:rsidR="00962762">
        <w:rPr>
          <w:bCs/>
          <w:lang w:eastAsia="ko-KR"/>
        </w:rPr>
        <w:t>To support 0ms data interruption, since the target cell and the source cell’s connection should be activate</w:t>
      </w:r>
      <w:r w:rsidR="001761BC">
        <w:rPr>
          <w:bCs/>
          <w:lang w:eastAsia="ko-KR"/>
        </w:rPr>
        <w:t>d</w:t>
      </w:r>
      <w:r w:rsidR="00962762">
        <w:rPr>
          <w:bCs/>
          <w:lang w:eastAsia="ko-KR"/>
        </w:rPr>
        <w:t xml:space="preserve"> for a while, RAN2 also made </w:t>
      </w:r>
      <w:r w:rsidR="00202B9D">
        <w:rPr>
          <w:bCs/>
          <w:lang w:eastAsia="ko-KR"/>
        </w:rPr>
        <w:t xml:space="preserve">the </w:t>
      </w:r>
      <w:r w:rsidR="00962762">
        <w:rPr>
          <w:bCs/>
          <w:lang w:eastAsia="ko-KR"/>
        </w:rPr>
        <w:t xml:space="preserve">agreement that dual active </w:t>
      </w:r>
      <w:r w:rsidR="00A22468">
        <w:rPr>
          <w:bCs/>
          <w:lang w:eastAsia="ko-KR"/>
        </w:rPr>
        <w:t xml:space="preserve">protocol stacks </w:t>
      </w:r>
      <w:r w:rsidR="00962762">
        <w:rPr>
          <w:bCs/>
          <w:lang w:eastAsia="ko-KR"/>
        </w:rPr>
        <w:t xml:space="preserve">with specified capability coordination </w:t>
      </w:r>
      <w:r w:rsidR="00A22468">
        <w:rPr>
          <w:bCs/>
          <w:lang w:eastAsia="ko-KR"/>
        </w:rPr>
        <w:t>is</w:t>
      </w:r>
      <w:r w:rsidR="00962762">
        <w:rPr>
          <w:bCs/>
          <w:lang w:eastAsia="ko-KR"/>
        </w:rPr>
        <w:t xml:space="preserve"> </w:t>
      </w:r>
      <w:r w:rsidR="00A22468">
        <w:rPr>
          <w:bCs/>
          <w:lang w:eastAsia="ko-KR"/>
        </w:rPr>
        <w:t>used</w:t>
      </w:r>
      <w:r w:rsidR="00962762">
        <w:rPr>
          <w:bCs/>
          <w:lang w:eastAsia="ko-KR"/>
        </w:rPr>
        <w:t xml:space="preserve">. It </w:t>
      </w:r>
      <w:r w:rsidR="00A22468">
        <w:rPr>
          <w:bCs/>
          <w:lang w:eastAsia="ko-KR"/>
        </w:rPr>
        <w:t>means</w:t>
      </w:r>
      <w:r w:rsidR="00962762">
        <w:rPr>
          <w:bCs/>
          <w:lang w:eastAsia="ko-KR"/>
        </w:rPr>
        <w:t xml:space="preserve"> that the source cell and </w:t>
      </w:r>
      <w:r w:rsidR="00962762">
        <w:rPr>
          <w:rFonts w:hint="eastAsia"/>
          <w:bCs/>
          <w:lang w:eastAsia="ko-KR"/>
        </w:rPr>
        <w:t>t</w:t>
      </w:r>
      <w:r w:rsidR="00962762">
        <w:rPr>
          <w:bCs/>
          <w:lang w:eastAsia="ko-KR"/>
        </w:rPr>
        <w:t xml:space="preserve">he target cell have a capability coordination procedure in the handover preparation phase before sending </w:t>
      </w:r>
      <w:r w:rsidR="00202B9D">
        <w:rPr>
          <w:bCs/>
          <w:lang w:eastAsia="ko-KR"/>
        </w:rPr>
        <w:t xml:space="preserve">the </w:t>
      </w:r>
      <w:r w:rsidR="00962762">
        <w:rPr>
          <w:bCs/>
          <w:lang w:eastAsia="ko-KR"/>
        </w:rPr>
        <w:t>DAPS HO command.</w:t>
      </w:r>
      <w:r w:rsidR="00074D6C">
        <w:rPr>
          <w:bCs/>
          <w:lang w:eastAsia="ko-KR"/>
        </w:rPr>
        <w:t xml:space="preserve"> Whole DAPS HO procedure including capability coordination can be assumed like below:</w:t>
      </w:r>
    </w:p>
    <w:p w14:paraId="19955AC6" w14:textId="2C41E644" w:rsidR="00074D6C" w:rsidRDefault="00074D6C" w:rsidP="00074D6C">
      <w:pPr>
        <w:pStyle w:val="afa"/>
        <w:numPr>
          <w:ilvl w:val="0"/>
          <w:numId w:val="36"/>
        </w:numPr>
        <w:ind w:leftChars="0"/>
        <w:rPr>
          <w:rFonts w:ascii="Times New Roman" w:hAnsi="Times New Roman"/>
          <w:bCs/>
        </w:rPr>
      </w:pPr>
      <w:r>
        <w:rPr>
          <w:rFonts w:ascii="Times New Roman" w:hAnsi="Times New Roman" w:hint="eastAsia"/>
          <w:bCs/>
        </w:rPr>
        <w:t xml:space="preserve">The source </w:t>
      </w:r>
      <w:r>
        <w:rPr>
          <w:rFonts w:ascii="Times New Roman" w:hAnsi="Times New Roman"/>
          <w:bCs/>
        </w:rPr>
        <w:t>cell decide</w:t>
      </w:r>
      <w:r w:rsidR="001761BC">
        <w:rPr>
          <w:rFonts w:ascii="Times New Roman" w:hAnsi="Times New Roman"/>
          <w:bCs/>
        </w:rPr>
        <w:t>s</w:t>
      </w:r>
      <w:r>
        <w:rPr>
          <w:rFonts w:ascii="Times New Roman" w:hAnsi="Times New Roman"/>
          <w:bCs/>
        </w:rPr>
        <w:t xml:space="preserve"> UE move to the target cell using DAPS HO.</w:t>
      </w:r>
    </w:p>
    <w:p w14:paraId="3272A46E" w14:textId="705E054A" w:rsidR="00074D6C" w:rsidRDefault="00074D6C" w:rsidP="00074D6C">
      <w:pPr>
        <w:pStyle w:val="afa"/>
        <w:numPr>
          <w:ilvl w:val="0"/>
          <w:numId w:val="36"/>
        </w:numPr>
        <w:ind w:leftChars="0"/>
        <w:rPr>
          <w:rFonts w:ascii="Times New Roman" w:hAnsi="Times New Roman"/>
          <w:bCs/>
        </w:rPr>
      </w:pPr>
      <w:r>
        <w:rPr>
          <w:rFonts w:ascii="Times New Roman" w:hAnsi="Times New Roman"/>
          <w:bCs/>
        </w:rPr>
        <w:t>The source cell and the target cell performs capability coordination for the DAPS HO in the HO preparation.</w:t>
      </w:r>
    </w:p>
    <w:p w14:paraId="04949B73" w14:textId="2EBD8C07"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receives the DAPS HO command, the UE keep</w:t>
      </w:r>
      <w:r w:rsidR="001761BC">
        <w:rPr>
          <w:rFonts w:ascii="Times New Roman" w:hAnsi="Times New Roman"/>
          <w:bCs/>
        </w:rPr>
        <w:t>s</w:t>
      </w:r>
      <w:r>
        <w:rPr>
          <w:rFonts w:ascii="Times New Roman" w:hAnsi="Times New Roman"/>
          <w:bCs/>
        </w:rPr>
        <w:t xml:space="preserve"> the source cell configuration which was received before receiving the DAPS HO command. The </w:t>
      </w:r>
      <w:r w:rsidR="005F66ED">
        <w:rPr>
          <w:rFonts w:ascii="Times New Roman" w:hAnsi="Times New Roman"/>
          <w:bCs/>
        </w:rPr>
        <w:t>network</w:t>
      </w:r>
      <w:r>
        <w:rPr>
          <w:rFonts w:ascii="Times New Roman" w:hAnsi="Times New Roman"/>
          <w:bCs/>
        </w:rPr>
        <w:t xml:space="preserve"> resources </w:t>
      </w:r>
      <w:r w:rsidR="005F66ED">
        <w:rPr>
          <w:rFonts w:ascii="Times New Roman" w:hAnsi="Times New Roman"/>
          <w:bCs/>
        </w:rPr>
        <w:t xml:space="preserve">for this UE </w:t>
      </w:r>
      <w:r>
        <w:rPr>
          <w:rFonts w:ascii="Times New Roman" w:hAnsi="Times New Roman"/>
          <w:bCs/>
        </w:rPr>
        <w:t xml:space="preserve">are </w:t>
      </w:r>
      <w:r w:rsidR="00A22468">
        <w:rPr>
          <w:rFonts w:ascii="Times New Roman" w:hAnsi="Times New Roman"/>
          <w:bCs/>
        </w:rPr>
        <w:t xml:space="preserve">fully </w:t>
      </w:r>
      <w:r>
        <w:rPr>
          <w:rFonts w:ascii="Times New Roman" w:hAnsi="Times New Roman"/>
          <w:bCs/>
        </w:rPr>
        <w:t xml:space="preserve">used </w:t>
      </w:r>
      <w:r w:rsidR="00A22468">
        <w:rPr>
          <w:rFonts w:ascii="Times New Roman" w:hAnsi="Times New Roman"/>
          <w:bCs/>
        </w:rPr>
        <w:t xml:space="preserve">according </w:t>
      </w:r>
      <w:r>
        <w:rPr>
          <w:rFonts w:ascii="Times New Roman" w:hAnsi="Times New Roman"/>
          <w:bCs/>
        </w:rPr>
        <w:t xml:space="preserve">to the source configuration until the UE access the target cell </w:t>
      </w:r>
      <w:r w:rsidR="005F66ED">
        <w:rPr>
          <w:rFonts w:ascii="Times New Roman" w:hAnsi="Times New Roman"/>
          <w:bCs/>
        </w:rPr>
        <w:t>i.e.</w:t>
      </w:r>
      <w:r>
        <w:rPr>
          <w:rFonts w:ascii="Times New Roman" w:hAnsi="Times New Roman"/>
          <w:bCs/>
        </w:rPr>
        <w:t xml:space="preserve"> the UE doesn’t transmit any user data to the target cell.</w:t>
      </w:r>
    </w:p>
    <w:p w14:paraId="61FDC996" w14:textId="4D46BF89"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tries to access to the target cell. Only RACH configuration may be used in the DAPS HO command.</w:t>
      </w:r>
    </w:p>
    <w:p w14:paraId="334B5414" w14:textId="47021A8A" w:rsidR="00074D6C" w:rsidRDefault="00074D6C" w:rsidP="00074D6C">
      <w:pPr>
        <w:pStyle w:val="afa"/>
        <w:numPr>
          <w:ilvl w:val="0"/>
          <w:numId w:val="36"/>
        </w:numPr>
        <w:ind w:leftChars="0"/>
        <w:rPr>
          <w:rFonts w:ascii="Times New Roman" w:hAnsi="Times New Roman"/>
          <w:bCs/>
        </w:rPr>
      </w:pPr>
      <w:r>
        <w:rPr>
          <w:rFonts w:ascii="Times New Roman" w:hAnsi="Times New Roman"/>
          <w:bCs/>
        </w:rPr>
        <w:t>The UE succe</w:t>
      </w:r>
      <w:r w:rsidR="00A22468">
        <w:rPr>
          <w:rFonts w:ascii="Times New Roman" w:hAnsi="Times New Roman"/>
          <w:bCs/>
        </w:rPr>
        <w:t>ed</w:t>
      </w:r>
      <w:r w:rsidR="00202B9D">
        <w:rPr>
          <w:rFonts w:ascii="Times New Roman" w:hAnsi="Times New Roman"/>
          <w:bCs/>
        </w:rPr>
        <w:t>s</w:t>
      </w:r>
      <w:r>
        <w:rPr>
          <w:rFonts w:ascii="Times New Roman" w:hAnsi="Times New Roman"/>
          <w:bCs/>
        </w:rPr>
        <w:t xml:space="preserve"> to access the target cell. The DAPS HO command </w:t>
      </w:r>
      <w:r w:rsidR="00A22468">
        <w:rPr>
          <w:rFonts w:ascii="Times New Roman" w:hAnsi="Times New Roman"/>
          <w:bCs/>
        </w:rPr>
        <w:t xml:space="preserve">is applied that </w:t>
      </w:r>
      <w:r w:rsidR="005F66ED">
        <w:rPr>
          <w:rFonts w:ascii="Times New Roman" w:hAnsi="Times New Roman"/>
          <w:bCs/>
        </w:rPr>
        <w:t>it</w:t>
      </w:r>
      <w:r>
        <w:rPr>
          <w:rFonts w:ascii="Times New Roman" w:hAnsi="Times New Roman"/>
          <w:bCs/>
        </w:rPr>
        <w:t xml:space="preserve"> </w:t>
      </w:r>
      <w:r w:rsidR="005F66ED">
        <w:rPr>
          <w:rFonts w:ascii="Times New Roman" w:hAnsi="Times New Roman"/>
          <w:bCs/>
        </w:rPr>
        <w:t xml:space="preserve">may </w:t>
      </w:r>
      <w:r>
        <w:rPr>
          <w:rFonts w:ascii="Times New Roman" w:hAnsi="Times New Roman"/>
          <w:bCs/>
        </w:rPr>
        <w:t>contain the source configuration and the target configuration.</w:t>
      </w:r>
      <w:r w:rsidRPr="00074D6C">
        <w:rPr>
          <w:rFonts w:ascii="Times New Roman" w:hAnsi="Times New Roman"/>
          <w:bCs/>
        </w:rPr>
        <w:t xml:space="preserve"> </w:t>
      </w:r>
      <w:r>
        <w:rPr>
          <w:rFonts w:ascii="Times New Roman" w:hAnsi="Times New Roman"/>
          <w:bCs/>
        </w:rPr>
        <w:t xml:space="preserve">The </w:t>
      </w:r>
      <w:r w:rsidR="005F66ED">
        <w:rPr>
          <w:rFonts w:ascii="Times New Roman" w:hAnsi="Times New Roman"/>
          <w:bCs/>
        </w:rPr>
        <w:t>network</w:t>
      </w:r>
      <w:r>
        <w:rPr>
          <w:rFonts w:ascii="Times New Roman" w:hAnsi="Times New Roman"/>
          <w:bCs/>
        </w:rPr>
        <w:t xml:space="preserve"> resources </w:t>
      </w:r>
      <w:r w:rsidR="005F66ED">
        <w:rPr>
          <w:rFonts w:ascii="Times New Roman" w:hAnsi="Times New Roman"/>
          <w:bCs/>
        </w:rPr>
        <w:t xml:space="preserve">for this UE </w:t>
      </w:r>
      <w:r>
        <w:rPr>
          <w:rFonts w:ascii="Times New Roman" w:hAnsi="Times New Roman"/>
          <w:bCs/>
        </w:rPr>
        <w:t xml:space="preserve">are used </w:t>
      </w:r>
      <w:r w:rsidR="00A22468">
        <w:rPr>
          <w:rFonts w:ascii="Times New Roman" w:hAnsi="Times New Roman"/>
          <w:bCs/>
        </w:rPr>
        <w:t xml:space="preserve">according </w:t>
      </w:r>
      <w:r>
        <w:rPr>
          <w:rFonts w:ascii="Times New Roman" w:hAnsi="Times New Roman"/>
          <w:bCs/>
        </w:rPr>
        <w:t xml:space="preserve">to </w:t>
      </w:r>
      <w:r w:rsidR="00290AFE">
        <w:rPr>
          <w:rFonts w:ascii="Times New Roman" w:hAnsi="Times New Roman"/>
          <w:bCs/>
        </w:rPr>
        <w:t xml:space="preserve">both of </w:t>
      </w:r>
      <w:r>
        <w:rPr>
          <w:rFonts w:ascii="Times New Roman" w:hAnsi="Times New Roman"/>
          <w:bCs/>
        </w:rPr>
        <w:t xml:space="preserve">the source configuration </w:t>
      </w:r>
      <w:r w:rsidR="00290AFE">
        <w:rPr>
          <w:rFonts w:ascii="Times New Roman" w:hAnsi="Times New Roman"/>
          <w:bCs/>
        </w:rPr>
        <w:t xml:space="preserve">and the target configuration </w:t>
      </w:r>
      <w:r>
        <w:rPr>
          <w:rFonts w:ascii="Times New Roman" w:hAnsi="Times New Roman"/>
          <w:bCs/>
        </w:rPr>
        <w:t>until</w:t>
      </w:r>
      <w:r w:rsidR="00290AFE">
        <w:rPr>
          <w:rFonts w:ascii="Times New Roman" w:hAnsi="Times New Roman"/>
          <w:bCs/>
        </w:rPr>
        <w:t xml:space="preserve"> the target cell release</w:t>
      </w:r>
      <w:r w:rsidR="001761BC">
        <w:rPr>
          <w:rFonts w:ascii="Times New Roman" w:hAnsi="Times New Roman"/>
          <w:bCs/>
        </w:rPr>
        <w:t>s</w:t>
      </w:r>
      <w:r w:rsidR="00290AFE">
        <w:rPr>
          <w:rFonts w:ascii="Times New Roman" w:hAnsi="Times New Roman"/>
          <w:bCs/>
        </w:rPr>
        <w:t xml:space="preserve"> the source con</w:t>
      </w:r>
      <w:r w:rsidR="00A22468">
        <w:rPr>
          <w:rFonts w:ascii="Times New Roman" w:hAnsi="Times New Roman"/>
          <w:bCs/>
        </w:rPr>
        <w:t>nection</w:t>
      </w:r>
      <w:r w:rsidR="00290AFE">
        <w:rPr>
          <w:rFonts w:ascii="Times New Roman" w:hAnsi="Times New Roman"/>
          <w:bCs/>
        </w:rPr>
        <w:t>.</w:t>
      </w:r>
    </w:p>
    <w:p w14:paraId="439B8452" w14:textId="5EEED7DF" w:rsidR="00290AFE" w:rsidRDefault="00290AFE" w:rsidP="00074D6C">
      <w:pPr>
        <w:pStyle w:val="afa"/>
        <w:numPr>
          <w:ilvl w:val="0"/>
          <w:numId w:val="36"/>
        </w:numPr>
        <w:ind w:leftChars="0"/>
        <w:rPr>
          <w:rFonts w:ascii="Times New Roman" w:hAnsi="Times New Roman"/>
          <w:bCs/>
        </w:rPr>
      </w:pPr>
      <w:r>
        <w:rPr>
          <w:rFonts w:ascii="Times New Roman" w:hAnsi="Times New Roman"/>
          <w:bCs/>
        </w:rPr>
        <w:t>The target cell inform</w:t>
      </w:r>
      <w:r w:rsidR="001761BC">
        <w:rPr>
          <w:rFonts w:ascii="Times New Roman" w:hAnsi="Times New Roman"/>
          <w:bCs/>
        </w:rPr>
        <w:t>s</w:t>
      </w:r>
      <w:r>
        <w:rPr>
          <w:rFonts w:ascii="Times New Roman" w:hAnsi="Times New Roman"/>
          <w:bCs/>
        </w:rPr>
        <w:t xml:space="preserve"> HO complete to the source cell and decide to release the source cell </w:t>
      </w:r>
      <w:r w:rsidR="00A22468">
        <w:rPr>
          <w:rFonts w:ascii="Times New Roman" w:hAnsi="Times New Roman"/>
          <w:bCs/>
        </w:rPr>
        <w:t>connection</w:t>
      </w:r>
      <w:r>
        <w:rPr>
          <w:rFonts w:ascii="Times New Roman" w:hAnsi="Times New Roman"/>
          <w:bCs/>
        </w:rPr>
        <w:t>.</w:t>
      </w:r>
    </w:p>
    <w:p w14:paraId="632F104A" w14:textId="71EAB984" w:rsidR="00290AFE" w:rsidRDefault="00290AFE" w:rsidP="00074D6C">
      <w:pPr>
        <w:pStyle w:val="afa"/>
        <w:numPr>
          <w:ilvl w:val="0"/>
          <w:numId w:val="36"/>
        </w:numPr>
        <w:ind w:leftChars="0"/>
        <w:rPr>
          <w:rFonts w:ascii="Times New Roman" w:hAnsi="Times New Roman"/>
          <w:bCs/>
        </w:rPr>
      </w:pPr>
      <w:r>
        <w:rPr>
          <w:rFonts w:ascii="Times New Roman" w:hAnsi="Times New Roman"/>
          <w:bCs/>
        </w:rPr>
        <w:t xml:space="preserve">The UE receives </w:t>
      </w:r>
      <w:r w:rsidR="005F66ED">
        <w:rPr>
          <w:rFonts w:ascii="Times New Roman" w:hAnsi="Times New Roman"/>
          <w:bCs/>
        </w:rPr>
        <w:t xml:space="preserve">RRC </w:t>
      </w:r>
      <w:r>
        <w:rPr>
          <w:rFonts w:ascii="Times New Roman" w:hAnsi="Times New Roman"/>
          <w:bCs/>
        </w:rPr>
        <w:t xml:space="preserve">Reconfiguration to release the source configuration and </w:t>
      </w:r>
      <w:r w:rsidR="00A22468">
        <w:rPr>
          <w:rFonts w:ascii="Times New Roman" w:hAnsi="Times New Roman"/>
          <w:bCs/>
        </w:rPr>
        <w:t>may update</w:t>
      </w:r>
      <w:r>
        <w:rPr>
          <w:rFonts w:ascii="Times New Roman" w:hAnsi="Times New Roman"/>
          <w:bCs/>
        </w:rPr>
        <w:t xml:space="preserve"> the target configuration. The </w:t>
      </w:r>
      <w:r w:rsidR="005F66ED">
        <w:rPr>
          <w:rFonts w:ascii="Times New Roman" w:hAnsi="Times New Roman"/>
          <w:bCs/>
        </w:rPr>
        <w:t>network</w:t>
      </w:r>
      <w:r>
        <w:rPr>
          <w:rFonts w:ascii="Times New Roman" w:hAnsi="Times New Roman"/>
          <w:bCs/>
        </w:rPr>
        <w:t xml:space="preserve"> resources </w:t>
      </w:r>
      <w:r w:rsidR="005F66ED">
        <w:rPr>
          <w:rFonts w:ascii="Times New Roman" w:hAnsi="Times New Roman"/>
          <w:bCs/>
        </w:rPr>
        <w:t xml:space="preserve">of this UE </w:t>
      </w:r>
      <w:r>
        <w:rPr>
          <w:rFonts w:ascii="Times New Roman" w:hAnsi="Times New Roman"/>
          <w:bCs/>
        </w:rPr>
        <w:t xml:space="preserve">are </w:t>
      </w:r>
      <w:r w:rsidR="00A22468">
        <w:rPr>
          <w:rFonts w:ascii="Times New Roman" w:hAnsi="Times New Roman"/>
          <w:bCs/>
        </w:rPr>
        <w:t xml:space="preserve">fully </w:t>
      </w:r>
      <w:r>
        <w:rPr>
          <w:rFonts w:ascii="Times New Roman" w:hAnsi="Times New Roman"/>
          <w:bCs/>
        </w:rPr>
        <w:t xml:space="preserve">used </w:t>
      </w:r>
      <w:r w:rsidR="00A22468">
        <w:rPr>
          <w:rFonts w:ascii="Times New Roman" w:hAnsi="Times New Roman"/>
          <w:bCs/>
        </w:rPr>
        <w:t xml:space="preserve">according </w:t>
      </w:r>
      <w:r>
        <w:rPr>
          <w:rFonts w:ascii="Times New Roman" w:hAnsi="Times New Roman"/>
          <w:bCs/>
        </w:rPr>
        <w:t>to the target configuration.</w:t>
      </w:r>
    </w:p>
    <w:p w14:paraId="7D2557A3" w14:textId="77777777" w:rsidR="00290AFE" w:rsidRPr="00074D6C" w:rsidRDefault="00290AFE" w:rsidP="00290AFE">
      <w:pPr>
        <w:pStyle w:val="afa"/>
        <w:ind w:leftChars="0" w:left="760"/>
        <w:rPr>
          <w:rFonts w:ascii="Times New Roman" w:hAnsi="Times New Roman"/>
          <w:bCs/>
        </w:rPr>
      </w:pPr>
    </w:p>
    <w:p w14:paraId="1EE14082" w14:textId="77DF9B17" w:rsidR="00522F19" w:rsidRDefault="00962762" w:rsidP="00736D97">
      <w:pPr>
        <w:rPr>
          <w:bCs/>
          <w:lang w:eastAsia="ko-KR"/>
        </w:rPr>
      </w:pPr>
      <w:r>
        <w:rPr>
          <w:bCs/>
          <w:lang w:eastAsia="ko-KR"/>
        </w:rPr>
        <w:t>However, i</w:t>
      </w:r>
      <w:r w:rsidR="00180312">
        <w:rPr>
          <w:bCs/>
          <w:lang w:eastAsia="ko-KR"/>
        </w:rPr>
        <w:t xml:space="preserve">n the perspective of the UE resource capability, </w:t>
      </w:r>
      <w:r>
        <w:rPr>
          <w:bCs/>
          <w:lang w:eastAsia="ko-KR"/>
        </w:rPr>
        <w:t xml:space="preserve">we cannot deny on </w:t>
      </w:r>
      <w:r w:rsidR="005D2DE1">
        <w:rPr>
          <w:bCs/>
          <w:lang w:eastAsia="ko-KR"/>
        </w:rPr>
        <w:t xml:space="preserve">a case that source configuration and the target configuration exceeds the maximum UE resource capability in the DAPS HO command if the network between the source cell and target cell doesn’t perform the capability coordination </w:t>
      </w:r>
      <w:r w:rsidR="00BA0F36">
        <w:rPr>
          <w:bCs/>
          <w:lang w:eastAsia="ko-KR"/>
        </w:rPr>
        <w:t>properly</w:t>
      </w:r>
      <w:r w:rsidR="00290AFE">
        <w:rPr>
          <w:bCs/>
          <w:lang w:eastAsia="ko-KR"/>
        </w:rPr>
        <w:t xml:space="preserve"> in the HO preparation phase</w:t>
      </w:r>
      <w:r w:rsidR="005D2DE1">
        <w:rPr>
          <w:bCs/>
          <w:lang w:eastAsia="ko-KR"/>
        </w:rPr>
        <w:t xml:space="preserve">. </w:t>
      </w:r>
      <w:r w:rsidR="00453314">
        <w:rPr>
          <w:bCs/>
          <w:lang w:eastAsia="ko-KR"/>
        </w:rPr>
        <w:lastRenderedPageBreak/>
        <w:t xml:space="preserve">Because of this, </w:t>
      </w:r>
      <w:r w:rsidR="00290AFE">
        <w:rPr>
          <w:bCs/>
          <w:lang w:eastAsia="ko-KR"/>
        </w:rPr>
        <w:t>RAN2 has</w:t>
      </w:r>
      <w:r w:rsidR="00453314">
        <w:rPr>
          <w:bCs/>
          <w:lang w:eastAsia="ko-KR"/>
        </w:rPr>
        <w:t xml:space="preserve"> some argument</w:t>
      </w:r>
      <w:r w:rsidR="001761BC">
        <w:rPr>
          <w:bCs/>
          <w:lang w:eastAsia="ko-KR"/>
        </w:rPr>
        <w:t>s</w:t>
      </w:r>
      <w:r w:rsidR="00453314">
        <w:rPr>
          <w:bCs/>
          <w:lang w:eastAsia="ko-KR"/>
        </w:rPr>
        <w:t xml:space="preserve"> to handle that the UE cannot comply</w:t>
      </w:r>
      <w:r w:rsidR="001761BC">
        <w:rPr>
          <w:bCs/>
          <w:lang w:eastAsia="ko-KR"/>
        </w:rPr>
        <w:t xml:space="preserve"> with</w:t>
      </w:r>
      <w:r w:rsidR="00453314">
        <w:rPr>
          <w:bCs/>
          <w:lang w:eastAsia="ko-KR"/>
        </w:rPr>
        <w:t xml:space="preserve"> </w:t>
      </w:r>
      <w:r w:rsidR="00BA0F36">
        <w:rPr>
          <w:bCs/>
          <w:lang w:eastAsia="ko-KR"/>
        </w:rPr>
        <w:t xml:space="preserve">both of the </w:t>
      </w:r>
      <w:r w:rsidR="00453314">
        <w:rPr>
          <w:bCs/>
          <w:lang w:eastAsia="ko-KR"/>
        </w:rPr>
        <w:t xml:space="preserve">source configuration and the target configuration in the DAPS </w:t>
      </w:r>
      <w:r w:rsidR="00E75F44">
        <w:rPr>
          <w:bCs/>
          <w:lang w:eastAsia="ko-KR"/>
        </w:rPr>
        <w:t xml:space="preserve">HO </w:t>
      </w:r>
      <w:r w:rsidR="00453314">
        <w:rPr>
          <w:bCs/>
          <w:lang w:eastAsia="ko-KR"/>
        </w:rPr>
        <w:t>command.</w:t>
      </w:r>
    </w:p>
    <w:p w14:paraId="56B51DF2" w14:textId="584DBD49" w:rsidR="00290AFE" w:rsidRDefault="00AB39D9" w:rsidP="00736D97">
      <w:pPr>
        <w:rPr>
          <w:bCs/>
          <w:lang w:eastAsia="ko-KR"/>
        </w:rPr>
      </w:pPr>
      <w:r>
        <w:rPr>
          <w:bCs/>
          <w:lang w:eastAsia="ko-KR"/>
        </w:rPr>
        <w:t>Considering RAN2 discussion so far,</w:t>
      </w:r>
      <w:r w:rsidR="00453314">
        <w:rPr>
          <w:bCs/>
          <w:lang w:eastAsia="ko-KR"/>
        </w:rPr>
        <w:t xml:space="preserve"> </w:t>
      </w:r>
      <w:r w:rsidR="00441C27">
        <w:rPr>
          <w:bCs/>
          <w:lang w:eastAsia="ko-KR"/>
        </w:rPr>
        <w:t>below</w:t>
      </w:r>
      <w:r w:rsidR="00290AFE">
        <w:rPr>
          <w:bCs/>
          <w:lang w:eastAsia="ko-KR"/>
        </w:rPr>
        <w:t xml:space="preserve"> approach</w:t>
      </w:r>
      <w:r w:rsidR="00441C27">
        <w:rPr>
          <w:bCs/>
          <w:lang w:eastAsia="ko-KR"/>
        </w:rPr>
        <w:t>es</w:t>
      </w:r>
      <w:r w:rsidR="00290AFE">
        <w:rPr>
          <w:bCs/>
          <w:lang w:eastAsia="ko-KR"/>
        </w:rPr>
        <w:t xml:space="preserve"> can be considered to handle the situation:</w:t>
      </w:r>
    </w:p>
    <w:p w14:paraId="1604AE85" w14:textId="1D140A76" w:rsidR="00AF1CC0" w:rsidRDefault="00441C27" w:rsidP="00290AFE">
      <w:pPr>
        <w:pStyle w:val="afa"/>
        <w:numPr>
          <w:ilvl w:val="0"/>
          <w:numId w:val="38"/>
        </w:numPr>
        <w:ind w:leftChars="0"/>
        <w:rPr>
          <w:rFonts w:ascii="Times New Roman" w:hAnsi="Times New Roman"/>
          <w:bCs/>
        </w:rPr>
      </w:pPr>
      <w:r>
        <w:rPr>
          <w:rFonts w:ascii="Times New Roman" w:hAnsi="Times New Roman"/>
          <w:bCs/>
        </w:rPr>
        <w:t xml:space="preserve">Perform </w:t>
      </w:r>
      <w:r w:rsidR="00E75F44">
        <w:rPr>
          <w:rFonts w:ascii="Times New Roman" w:hAnsi="Times New Roman" w:hint="eastAsia"/>
          <w:bCs/>
        </w:rPr>
        <w:t>RR</w:t>
      </w:r>
      <w:r w:rsidR="00E75F44">
        <w:rPr>
          <w:rFonts w:ascii="Times New Roman" w:hAnsi="Times New Roman"/>
          <w:bCs/>
        </w:rPr>
        <w:t>C</w:t>
      </w:r>
      <w:r w:rsidR="00E75F44">
        <w:rPr>
          <w:rFonts w:ascii="Times New Roman" w:hAnsi="Times New Roman" w:hint="eastAsia"/>
          <w:bCs/>
        </w:rPr>
        <w:t xml:space="preserve"> </w:t>
      </w:r>
      <w:r>
        <w:rPr>
          <w:rFonts w:ascii="Times New Roman" w:hAnsi="Times New Roman"/>
          <w:bCs/>
        </w:rPr>
        <w:t xml:space="preserve">Re-establishment </w:t>
      </w:r>
    </w:p>
    <w:p w14:paraId="0FA1600F" w14:textId="3A4FCA87" w:rsidR="00290AFE" w:rsidRDefault="00441C27" w:rsidP="00290AFE">
      <w:pPr>
        <w:pStyle w:val="afa"/>
        <w:numPr>
          <w:ilvl w:val="0"/>
          <w:numId w:val="38"/>
        </w:numPr>
        <w:ind w:leftChars="0"/>
        <w:rPr>
          <w:rFonts w:ascii="Times New Roman" w:hAnsi="Times New Roman"/>
          <w:bCs/>
        </w:rPr>
      </w:pPr>
      <w:r>
        <w:rPr>
          <w:rFonts w:ascii="Times New Roman" w:hAnsi="Times New Roman" w:hint="eastAsia"/>
          <w:bCs/>
        </w:rPr>
        <w:t xml:space="preserve">Release the </w:t>
      </w:r>
      <w:r>
        <w:rPr>
          <w:rFonts w:ascii="Times New Roman" w:hAnsi="Times New Roman"/>
          <w:bCs/>
        </w:rPr>
        <w:t>source cell connection and keep performing DAPS HO</w:t>
      </w:r>
    </w:p>
    <w:p w14:paraId="22195E4F" w14:textId="2E8BCC49" w:rsidR="00441C27" w:rsidRDefault="00441C27" w:rsidP="00290AFE">
      <w:pPr>
        <w:pStyle w:val="afa"/>
        <w:numPr>
          <w:ilvl w:val="0"/>
          <w:numId w:val="38"/>
        </w:numPr>
        <w:ind w:leftChars="0"/>
        <w:rPr>
          <w:rFonts w:ascii="Times New Roman" w:hAnsi="Times New Roman"/>
          <w:bCs/>
        </w:rPr>
      </w:pPr>
      <w:r>
        <w:rPr>
          <w:rFonts w:ascii="Times New Roman" w:hAnsi="Times New Roman"/>
          <w:bCs/>
        </w:rPr>
        <w:t>Change autonomously DAPS HO configuration according to the UE resource capability</w:t>
      </w:r>
    </w:p>
    <w:p w14:paraId="3A0A56CF" w14:textId="488ADF74" w:rsidR="00DA4C13" w:rsidRDefault="00DA4C13" w:rsidP="00DA4C13">
      <w:pPr>
        <w:pStyle w:val="afa"/>
        <w:ind w:leftChars="0" w:left="760"/>
        <w:rPr>
          <w:rFonts w:ascii="Times New Roman" w:hAnsi="Times New Roman"/>
          <w:bCs/>
        </w:rPr>
      </w:pPr>
      <w:r>
        <w:rPr>
          <w:rFonts w:ascii="Times New Roman" w:hAnsi="Times New Roman"/>
          <w:bCs/>
        </w:rPr>
        <w:t xml:space="preserve">(e.g., </w:t>
      </w:r>
      <w:r w:rsidR="00E75F44">
        <w:rPr>
          <w:rFonts w:ascii="Times New Roman" w:hAnsi="Times New Roman"/>
          <w:bCs/>
        </w:rPr>
        <w:t xml:space="preserve">performs the legacy (MBB) HO or </w:t>
      </w:r>
      <w:r>
        <w:rPr>
          <w:rFonts w:ascii="Times New Roman" w:hAnsi="Times New Roman"/>
          <w:bCs/>
        </w:rPr>
        <w:t xml:space="preserve">autonomously </w:t>
      </w:r>
      <w:r w:rsidR="00E75F44">
        <w:rPr>
          <w:rFonts w:ascii="Times New Roman" w:hAnsi="Times New Roman"/>
          <w:bCs/>
        </w:rPr>
        <w:t xml:space="preserve">change/release </w:t>
      </w:r>
      <w:proofErr w:type="spellStart"/>
      <w:r>
        <w:rPr>
          <w:rFonts w:ascii="Times New Roman" w:hAnsi="Times New Roman"/>
          <w:bCs/>
        </w:rPr>
        <w:t>SCell</w:t>
      </w:r>
      <w:r w:rsidR="00E75F44">
        <w:rPr>
          <w:rFonts w:ascii="Times New Roman" w:hAnsi="Times New Roman"/>
          <w:bCs/>
        </w:rPr>
        <w:t>s</w:t>
      </w:r>
      <w:proofErr w:type="spellEnd"/>
      <w:r w:rsidR="00E75F44">
        <w:rPr>
          <w:rFonts w:ascii="Times New Roman" w:hAnsi="Times New Roman"/>
          <w:bCs/>
        </w:rPr>
        <w:t xml:space="preserve"> or</w:t>
      </w:r>
      <w:r w:rsidR="00BA0F36">
        <w:rPr>
          <w:rFonts w:ascii="Times New Roman" w:hAnsi="Times New Roman"/>
          <w:bCs/>
        </w:rPr>
        <w:t xml:space="preserve"> TX configuration</w:t>
      </w:r>
      <w:r>
        <w:rPr>
          <w:rFonts w:ascii="Times New Roman" w:hAnsi="Times New Roman"/>
          <w:bCs/>
        </w:rPr>
        <w:t>)</w:t>
      </w:r>
    </w:p>
    <w:p w14:paraId="18ADD0BC" w14:textId="5E9EAB8B" w:rsidR="00A0564C" w:rsidRPr="00A0564C" w:rsidRDefault="00A0564C" w:rsidP="00D311DB">
      <w:pPr>
        <w:pStyle w:val="afa"/>
        <w:numPr>
          <w:ilvl w:val="0"/>
          <w:numId w:val="38"/>
        </w:numPr>
        <w:ind w:leftChars="0"/>
        <w:rPr>
          <w:rFonts w:ascii="Times New Roman" w:hAnsi="Times New Roman"/>
          <w:bCs/>
        </w:rPr>
      </w:pPr>
      <w:r>
        <w:rPr>
          <w:rFonts w:ascii="Times New Roman" w:hAnsi="Times New Roman"/>
          <w:bCs/>
        </w:rPr>
        <w:t>Left to UE implementation</w:t>
      </w:r>
    </w:p>
    <w:p w14:paraId="060EEE92" w14:textId="77777777" w:rsidR="00290AFE" w:rsidRDefault="00290AFE" w:rsidP="00290AFE">
      <w:pPr>
        <w:rPr>
          <w:bCs/>
        </w:rPr>
      </w:pPr>
    </w:p>
    <w:p w14:paraId="5D3026B7" w14:textId="4C0C6CE8" w:rsidR="00DA4C13" w:rsidRDefault="00441C27" w:rsidP="00290AFE">
      <w:pPr>
        <w:rPr>
          <w:bCs/>
          <w:lang w:eastAsia="ko-KR"/>
        </w:rPr>
      </w:pPr>
      <w:r>
        <w:rPr>
          <w:bCs/>
          <w:lang w:eastAsia="ko-KR"/>
        </w:rPr>
        <w:t>The first approach is the simplest solution and keep</w:t>
      </w:r>
      <w:r w:rsidR="001761BC">
        <w:rPr>
          <w:bCs/>
          <w:lang w:eastAsia="ko-KR"/>
        </w:rPr>
        <w:t>s</w:t>
      </w:r>
      <w:r>
        <w:rPr>
          <w:bCs/>
          <w:lang w:eastAsia="ko-KR"/>
        </w:rPr>
        <w:t xml:space="preserve"> the legacy principle that UE initiate</w:t>
      </w:r>
      <w:r w:rsidR="001761BC">
        <w:rPr>
          <w:bCs/>
          <w:lang w:eastAsia="ko-KR"/>
        </w:rPr>
        <w:t>s</w:t>
      </w:r>
      <w:r>
        <w:rPr>
          <w:bCs/>
          <w:lang w:eastAsia="ko-KR"/>
        </w:rPr>
        <w:t xml:space="preserve"> </w:t>
      </w:r>
      <w:r w:rsidR="00E75F44">
        <w:rPr>
          <w:bCs/>
          <w:lang w:eastAsia="ko-KR"/>
        </w:rPr>
        <w:t xml:space="preserve">RRC </w:t>
      </w:r>
      <w:r>
        <w:rPr>
          <w:bCs/>
          <w:lang w:eastAsia="ko-KR"/>
        </w:rPr>
        <w:t xml:space="preserve">Re-establishment procedure if the UE cannot comply </w:t>
      </w:r>
      <w:r w:rsidR="00787748">
        <w:rPr>
          <w:bCs/>
          <w:lang w:eastAsia="ko-KR"/>
        </w:rPr>
        <w:t xml:space="preserve">with </w:t>
      </w:r>
      <w:r>
        <w:rPr>
          <w:bCs/>
          <w:lang w:eastAsia="ko-KR"/>
        </w:rPr>
        <w:t>the received any RRC configuration after security activation. However</w:t>
      </w:r>
      <w:r w:rsidR="00202B9D">
        <w:rPr>
          <w:bCs/>
          <w:lang w:eastAsia="ko-KR"/>
        </w:rPr>
        <w:t>,</w:t>
      </w:r>
      <w:r>
        <w:rPr>
          <w:bCs/>
          <w:lang w:eastAsia="ko-KR"/>
        </w:rPr>
        <w:t xml:space="preserve"> it causes data interruption</w:t>
      </w:r>
      <w:r w:rsidR="00DA4C13">
        <w:rPr>
          <w:bCs/>
          <w:lang w:eastAsia="ko-KR"/>
        </w:rPr>
        <w:t>.</w:t>
      </w:r>
      <w:r w:rsidR="00AB39D9">
        <w:rPr>
          <w:rFonts w:hint="eastAsia"/>
          <w:bCs/>
          <w:lang w:eastAsia="ko-KR"/>
        </w:rPr>
        <w:t xml:space="preserve"> </w:t>
      </w:r>
      <w:r w:rsidR="00DA4C13">
        <w:rPr>
          <w:bCs/>
          <w:lang w:eastAsia="ko-KR"/>
        </w:rPr>
        <w:t xml:space="preserve">The second approach </w:t>
      </w:r>
      <w:r w:rsidR="00A0564C">
        <w:rPr>
          <w:bCs/>
          <w:lang w:eastAsia="ko-KR"/>
        </w:rPr>
        <w:t>is not complete</w:t>
      </w:r>
      <w:r w:rsidR="00DA4C13">
        <w:rPr>
          <w:bCs/>
          <w:lang w:eastAsia="ko-KR"/>
        </w:rPr>
        <w:t xml:space="preserve"> </w:t>
      </w:r>
      <w:r w:rsidR="00E75F44">
        <w:rPr>
          <w:bCs/>
          <w:lang w:eastAsia="ko-KR"/>
        </w:rPr>
        <w:t xml:space="preserve">solution </w:t>
      </w:r>
      <w:r w:rsidR="00DA4C13">
        <w:rPr>
          <w:bCs/>
          <w:lang w:eastAsia="ko-KR"/>
        </w:rPr>
        <w:t xml:space="preserve">because even the target configuration </w:t>
      </w:r>
      <w:r w:rsidR="00A0564C">
        <w:rPr>
          <w:bCs/>
          <w:lang w:eastAsia="ko-KR"/>
        </w:rPr>
        <w:t xml:space="preserve">itself </w:t>
      </w:r>
      <w:r w:rsidR="00DA4C13">
        <w:rPr>
          <w:bCs/>
          <w:lang w:eastAsia="ko-KR"/>
        </w:rPr>
        <w:t>may exceed the UE resource capability.</w:t>
      </w:r>
      <w:r w:rsidR="00AB39D9">
        <w:rPr>
          <w:rFonts w:hint="eastAsia"/>
          <w:bCs/>
          <w:lang w:eastAsia="ko-KR"/>
        </w:rPr>
        <w:t xml:space="preserve"> </w:t>
      </w:r>
      <w:r w:rsidR="00AB39D9">
        <w:rPr>
          <w:bCs/>
          <w:lang w:eastAsia="ko-KR"/>
        </w:rPr>
        <w:t xml:space="preserve">The third approach </w:t>
      </w:r>
      <w:r w:rsidR="00A0564C">
        <w:rPr>
          <w:bCs/>
          <w:lang w:eastAsia="ko-KR"/>
        </w:rPr>
        <w:t>is too comple</w:t>
      </w:r>
      <w:r w:rsidR="00BA0F36">
        <w:rPr>
          <w:bCs/>
          <w:lang w:eastAsia="ko-KR"/>
        </w:rPr>
        <w:t>x</w:t>
      </w:r>
      <w:r w:rsidR="00A0564C">
        <w:rPr>
          <w:bCs/>
          <w:lang w:eastAsia="ko-KR"/>
        </w:rPr>
        <w:t xml:space="preserve">ed from </w:t>
      </w:r>
      <w:r w:rsidR="00202B9D">
        <w:rPr>
          <w:bCs/>
          <w:lang w:eastAsia="ko-KR"/>
        </w:rPr>
        <w:t xml:space="preserve">the </w:t>
      </w:r>
      <w:r w:rsidR="00A0564C">
        <w:rPr>
          <w:bCs/>
          <w:lang w:eastAsia="ko-KR"/>
        </w:rPr>
        <w:t xml:space="preserve">UE side. </w:t>
      </w:r>
      <w:r w:rsidR="00E75F44">
        <w:rPr>
          <w:bCs/>
          <w:lang w:eastAsia="ko-KR"/>
        </w:rPr>
        <w:t>For example</w:t>
      </w:r>
      <w:r w:rsidR="00A0564C">
        <w:rPr>
          <w:bCs/>
          <w:lang w:eastAsia="ko-KR"/>
        </w:rPr>
        <w:t xml:space="preserve">, </w:t>
      </w:r>
      <w:r w:rsidR="00AB39D9">
        <w:rPr>
          <w:bCs/>
          <w:lang w:eastAsia="ko-KR"/>
        </w:rPr>
        <w:t xml:space="preserve">even </w:t>
      </w:r>
      <w:r w:rsidR="00A0564C">
        <w:rPr>
          <w:bCs/>
          <w:lang w:eastAsia="ko-KR"/>
        </w:rPr>
        <w:t xml:space="preserve">if </w:t>
      </w:r>
      <w:r w:rsidR="00E75F44">
        <w:rPr>
          <w:bCs/>
          <w:lang w:eastAsia="ko-KR"/>
        </w:rPr>
        <w:t xml:space="preserve">the </w:t>
      </w:r>
      <w:r w:rsidR="00AB39D9">
        <w:rPr>
          <w:bCs/>
          <w:lang w:eastAsia="ko-KR"/>
        </w:rPr>
        <w:t>UE autonomously release</w:t>
      </w:r>
      <w:r w:rsidR="001761BC">
        <w:rPr>
          <w:bCs/>
          <w:lang w:eastAsia="ko-KR"/>
        </w:rPr>
        <w:t>s</w:t>
      </w:r>
      <w:r w:rsidR="00AB39D9">
        <w:rPr>
          <w:bCs/>
          <w:lang w:eastAsia="ko-KR"/>
        </w:rPr>
        <w:t xml:space="preserve"> </w:t>
      </w:r>
      <w:proofErr w:type="spellStart"/>
      <w:r w:rsidR="00736D97">
        <w:rPr>
          <w:bCs/>
          <w:lang w:eastAsia="ko-KR"/>
        </w:rPr>
        <w:t>SCell</w:t>
      </w:r>
      <w:proofErr w:type="spellEnd"/>
      <w:r w:rsidR="00AB39D9">
        <w:rPr>
          <w:bCs/>
          <w:lang w:eastAsia="ko-KR"/>
        </w:rPr>
        <w:t xml:space="preserve"> configuration to meet the UE capability, </w:t>
      </w:r>
      <w:r w:rsidR="00A0564C">
        <w:rPr>
          <w:bCs/>
          <w:lang w:eastAsia="ko-KR"/>
        </w:rPr>
        <w:t xml:space="preserve">the combined capabilities required by </w:t>
      </w:r>
      <w:r w:rsidR="00787748">
        <w:rPr>
          <w:bCs/>
          <w:lang w:eastAsia="ko-KR"/>
        </w:rPr>
        <w:t xml:space="preserve">the </w:t>
      </w:r>
      <w:proofErr w:type="spellStart"/>
      <w:r w:rsidR="00AB39D9">
        <w:rPr>
          <w:bCs/>
          <w:lang w:eastAsia="ko-KR"/>
        </w:rPr>
        <w:t>PCell</w:t>
      </w:r>
      <w:proofErr w:type="spellEnd"/>
      <w:r w:rsidR="00AB39D9">
        <w:rPr>
          <w:bCs/>
          <w:lang w:eastAsia="ko-KR"/>
        </w:rPr>
        <w:t xml:space="preserve"> configuration of the source cell and the target cell may </w:t>
      </w:r>
      <w:r w:rsidR="00A0564C">
        <w:rPr>
          <w:bCs/>
          <w:lang w:eastAsia="ko-KR"/>
        </w:rPr>
        <w:t xml:space="preserve">still </w:t>
      </w:r>
      <w:r w:rsidR="00AB39D9">
        <w:rPr>
          <w:bCs/>
          <w:lang w:eastAsia="ko-KR"/>
        </w:rPr>
        <w:t xml:space="preserve">exceed the UE capability. </w:t>
      </w:r>
      <w:r w:rsidR="00A0564C">
        <w:rPr>
          <w:bCs/>
          <w:lang w:eastAsia="ko-KR"/>
        </w:rPr>
        <w:t xml:space="preserve"> </w:t>
      </w:r>
    </w:p>
    <w:p w14:paraId="3CEEE762" w14:textId="13BAE8A9" w:rsidR="00290AFE" w:rsidRPr="00290AFE" w:rsidRDefault="00AB39D9" w:rsidP="00290AFE">
      <w:pPr>
        <w:rPr>
          <w:bCs/>
          <w:lang w:eastAsia="ko-KR"/>
        </w:rPr>
      </w:pPr>
      <w:r>
        <w:rPr>
          <w:bCs/>
          <w:lang w:eastAsia="ko-KR"/>
        </w:rPr>
        <w:t xml:space="preserve">In our view, </w:t>
      </w:r>
      <w:r w:rsidR="00A0564C">
        <w:rPr>
          <w:bCs/>
          <w:lang w:eastAsia="ko-KR"/>
        </w:rPr>
        <w:t xml:space="preserve">no solution is perfect. As long as the event of exceeding UE capability should be considered only as </w:t>
      </w:r>
      <w:r w:rsidR="00787748">
        <w:rPr>
          <w:bCs/>
          <w:lang w:eastAsia="ko-KR"/>
        </w:rPr>
        <w:t xml:space="preserve">an </w:t>
      </w:r>
      <w:r w:rsidR="00A0564C">
        <w:rPr>
          <w:bCs/>
          <w:lang w:eastAsia="ko-KR"/>
        </w:rPr>
        <w:t>exceptional case, and we should not impose significant complexity to solve such exceptional problem</w:t>
      </w:r>
      <w:r w:rsidR="00787748">
        <w:rPr>
          <w:bCs/>
          <w:lang w:eastAsia="ko-KR"/>
        </w:rPr>
        <w:t>s</w:t>
      </w:r>
      <w:r w:rsidR="00A0564C">
        <w:rPr>
          <w:bCs/>
          <w:lang w:eastAsia="ko-KR"/>
        </w:rPr>
        <w:t>. Assuming that</w:t>
      </w:r>
      <w:r w:rsidR="00511856">
        <w:rPr>
          <w:bCs/>
          <w:lang w:eastAsia="ko-KR"/>
        </w:rPr>
        <w:t xml:space="preserve"> the </w:t>
      </w:r>
      <w:r w:rsidR="00A0564C">
        <w:rPr>
          <w:bCs/>
          <w:lang w:eastAsia="ko-KR"/>
        </w:rPr>
        <w:t xml:space="preserve">error case should be </w:t>
      </w:r>
      <w:r w:rsidR="00511856">
        <w:rPr>
          <w:bCs/>
          <w:lang w:eastAsia="ko-KR"/>
        </w:rPr>
        <w:t>prevented by the network</w:t>
      </w:r>
      <w:r w:rsidR="00A0564C">
        <w:rPr>
          <w:bCs/>
          <w:lang w:eastAsia="ko-KR"/>
        </w:rPr>
        <w:t xml:space="preserve"> whenever possible, we </w:t>
      </w:r>
      <w:r w:rsidR="00BA0F36">
        <w:rPr>
          <w:bCs/>
          <w:lang w:eastAsia="ko-KR"/>
        </w:rPr>
        <w:t xml:space="preserve">still </w:t>
      </w:r>
      <w:r w:rsidR="00A0564C">
        <w:rPr>
          <w:bCs/>
          <w:lang w:eastAsia="ko-KR"/>
        </w:rPr>
        <w:t xml:space="preserve">think that this can be left </w:t>
      </w:r>
      <w:r w:rsidR="00736D97">
        <w:rPr>
          <w:bCs/>
          <w:lang w:eastAsia="ko-KR"/>
        </w:rPr>
        <w:t xml:space="preserve">to </w:t>
      </w:r>
      <w:r w:rsidR="00511856">
        <w:rPr>
          <w:bCs/>
          <w:lang w:eastAsia="ko-KR"/>
        </w:rPr>
        <w:t>UE implementation.</w:t>
      </w:r>
    </w:p>
    <w:p w14:paraId="039CEF58" w14:textId="4FD1170D" w:rsidR="00A0564C" w:rsidRDefault="00A0564C" w:rsidP="00A0564C">
      <w:pPr>
        <w:rPr>
          <w:b/>
          <w:bCs/>
        </w:rPr>
      </w:pPr>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p w14:paraId="7B7E112C" w14:textId="77777777" w:rsidR="00E75974" w:rsidRPr="00511856" w:rsidRDefault="00E75974" w:rsidP="00533BFC">
      <w:pPr>
        <w:rPr>
          <w:b/>
          <w:bCs/>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49D2FC9F" w:rsidR="00BC46C9" w:rsidRDefault="00BC46C9" w:rsidP="00BC46C9">
      <w:pPr>
        <w:rPr>
          <w:lang w:eastAsia="ko-KR"/>
        </w:rPr>
      </w:pPr>
      <w:r>
        <w:rPr>
          <w:lang w:eastAsia="ko-KR"/>
        </w:rPr>
        <w:t xml:space="preserve">In this contribution, we have </w:t>
      </w:r>
      <w:r w:rsidR="00CB27D4">
        <w:rPr>
          <w:lang w:eastAsia="ko-KR"/>
        </w:rPr>
        <w:t xml:space="preserve">the </w:t>
      </w:r>
      <w:r>
        <w:rPr>
          <w:lang w:eastAsia="ko-KR"/>
        </w:rPr>
        <w:t>following conclusion:</w:t>
      </w:r>
    </w:p>
    <w:p w14:paraId="1F396B08" w14:textId="73F3A5E5" w:rsidR="00BC46C9" w:rsidRPr="00511856" w:rsidRDefault="00D311DB" w:rsidP="00E22F82">
      <w:r>
        <w:rPr>
          <w:rFonts w:hint="eastAsia"/>
          <w:b/>
          <w:bCs/>
        </w:rPr>
        <w:t>P</w:t>
      </w:r>
      <w:r>
        <w:rPr>
          <w:b/>
          <w:bCs/>
        </w:rPr>
        <w:t>roposal</w:t>
      </w:r>
      <w:r>
        <w:rPr>
          <w:rFonts w:hint="eastAsia"/>
          <w:b/>
          <w:bCs/>
        </w:rPr>
        <w:t>:</w:t>
      </w:r>
      <w:r>
        <w:rPr>
          <w:b/>
          <w:bCs/>
        </w:rPr>
        <w:t xml:space="preserve"> The handling of excessive UE capabilities during DAPS HO </w:t>
      </w:r>
      <w:r w:rsidR="00787748">
        <w:rPr>
          <w:b/>
          <w:bCs/>
        </w:rPr>
        <w:t>is</w:t>
      </w:r>
      <w:r>
        <w:rPr>
          <w:b/>
          <w:bCs/>
        </w:rPr>
        <w:t xml:space="preserve"> left to UE implementation.</w:t>
      </w:r>
    </w:p>
    <w:sectPr w:rsidR="00BC46C9" w:rsidRPr="0051185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797F" w14:textId="77777777" w:rsidR="00E158E5" w:rsidRDefault="00E158E5">
      <w:pPr>
        <w:pStyle w:val="1"/>
      </w:pPr>
      <w:r>
        <w:separator/>
      </w:r>
    </w:p>
  </w:endnote>
  <w:endnote w:type="continuationSeparator" w:id="0">
    <w:p w14:paraId="2CCF5654" w14:textId="77777777" w:rsidR="00E158E5" w:rsidRDefault="00E158E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6287D" w:rsidRDefault="00B6287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B6287D" w:rsidRDefault="00B6287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63E32">
      <w:rPr>
        <w:rStyle w:val="af1"/>
      </w:rPr>
      <w:t>2</w:t>
    </w:r>
    <w:r>
      <w:rPr>
        <w:rStyle w:val="af1"/>
      </w:rPr>
      <w:fldChar w:fldCharType="end"/>
    </w:r>
  </w:p>
  <w:p w14:paraId="31F58317" w14:textId="77777777" w:rsidR="00B6287D" w:rsidRDefault="00B6287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EBF35" w14:textId="77777777" w:rsidR="00E158E5" w:rsidRDefault="00E158E5">
      <w:pPr>
        <w:pStyle w:val="1"/>
      </w:pPr>
      <w:r>
        <w:separator/>
      </w:r>
    </w:p>
  </w:footnote>
  <w:footnote w:type="continuationSeparator" w:id="0">
    <w:p w14:paraId="14C5247A" w14:textId="77777777" w:rsidR="00E158E5" w:rsidRDefault="00E158E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9.25pt;height:9.25pt" o:bullet="t">
        <v:imagedata r:id="rId1" o:title="art5E8F"/>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8C69DE"/>
    <w:multiLevelType w:val="hybridMultilevel"/>
    <w:tmpl w:val="F6BC1B22"/>
    <w:lvl w:ilvl="0" w:tplc="0A2C829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C46FED"/>
    <w:multiLevelType w:val="hybridMultilevel"/>
    <w:tmpl w:val="90CED17E"/>
    <w:lvl w:ilvl="0" w:tplc="C2EEC8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0042B3"/>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709670FB"/>
    <w:multiLevelType w:val="hybridMultilevel"/>
    <w:tmpl w:val="4BDA429E"/>
    <w:lvl w:ilvl="0" w:tplc="1C3A3230">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3"/>
  </w:num>
  <w:num w:numId="3">
    <w:abstractNumId w:val="25"/>
  </w:num>
  <w:num w:numId="4">
    <w:abstractNumId w:val="36"/>
  </w:num>
  <w:num w:numId="5">
    <w:abstractNumId w:val="26"/>
  </w:num>
  <w:num w:numId="6">
    <w:abstractNumId w:val="35"/>
  </w:num>
  <w:num w:numId="7">
    <w:abstractNumId w:val="21"/>
  </w:num>
  <w:num w:numId="8">
    <w:abstractNumId w:val="32"/>
  </w:num>
  <w:num w:numId="9">
    <w:abstractNumId w:val="15"/>
  </w:num>
  <w:num w:numId="10">
    <w:abstractNumId w:val="5"/>
  </w:num>
  <w:num w:numId="11">
    <w:abstractNumId w:val="19"/>
  </w:num>
  <w:num w:numId="12">
    <w:abstractNumId w:val="22"/>
  </w:num>
  <w:num w:numId="13">
    <w:abstractNumId w:val="28"/>
  </w:num>
  <w:num w:numId="14">
    <w:abstractNumId w:val="29"/>
  </w:num>
  <w:num w:numId="15">
    <w:abstractNumId w:val="27"/>
  </w:num>
  <w:num w:numId="16">
    <w:abstractNumId w:val="20"/>
  </w:num>
  <w:num w:numId="17">
    <w:abstractNumId w:val="34"/>
  </w:num>
  <w:num w:numId="18">
    <w:abstractNumId w:val="10"/>
  </w:num>
  <w:num w:numId="19">
    <w:abstractNumId w:val="17"/>
  </w:num>
  <w:num w:numId="20">
    <w:abstractNumId w:val="2"/>
  </w:num>
  <w:num w:numId="21">
    <w:abstractNumId w:val="24"/>
  </w:num>
  <w:num w:numId="22">
    <w:abstractNumId w:val="4"/>
  </w:num>
  <w:num w:numId="23">
    <w:abstractNumId w:val="18"/>
  </w:num>
  <w:num w:numId="24">
    <w:abstractNumId w:val="14"/>
  </w:num>
  <w:num w:numId="25">
    <w:abstractNumId w:val="37"/>
  </w:num>
  <w:num w:numId="26">
    <w:abstractNumId w:val="6"/>
  </w:num>
  <w:num w:numId="27">
    <w:abstractNumId w:val="31"/>
  </w:num>
  <w:num w:numId="28">
    <w:abstractNumId w:val="12"/>
  </w:num>
  <w:num w:numId="29">
    <w:abstractNumId w:val="7"/>
  </w:num>
  <w:num w:numId="30">
    <w:abstractNumId w:val="16"/>
  </w:num>
  <w:num w:numId="31">
    <w:abstractNumId w:val="1"/>
  </w:num>
  <w:num w:numId="32">
    <w:abstractNumId w:val="9"/>
  </w:num>
  <w:num w:numId="33">
    <w:abstractNumId w:val="0"/>
  </w:num>
  <w:num w:numId="34">
    <w:abstractNumId w:val="13"/>
  </w:num>
  <w:num w:numId="35">
    <w:abstractNumId w:val="11"/>
  </w:num>
  <w:num w:numId="36">
    <w:abstractNumId w:val="33"/>
  </w:num>
  <w:num w:numId="37">
    <w:abstractNumId w:val="8"/>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KoFAPP6IUMt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6C"/>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7EE"/>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A28"/>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A30"/>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205"/>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AC2"/>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1BC"/>
    <w:rsid w:val="00176A15"/>
    <w:rsid w:val="00176C5B"/>
    <w:rsid w:val="001770C2"/>
    <w:rsid w:val="0017731D"/>
    <w:rsid w:val="00177438"/>
    <w:rsid w:val="00177F9B"/>
    <w:rsid w:val="00180038"/>
    <w:rsid w:val="001801CA"/>
    <w:rsid w:val="00180312"/>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1F"/>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F40"/>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B9D"/>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59C3"/>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0AFE"/>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4F3"/>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559"/>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149"/>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7CC"/>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779C8"/>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B28"/>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1C27"/>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314"/>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5EC3"/>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97A3B"/>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410"/>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856"/>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19"/>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B5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E1"/>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66ED"/>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43"/>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87A0C"/>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BB"/>
    <w:rsid w:val="006F77F5"/>
    <w:rsid w:val="006F7B50"/>
    <w:rsid w:val="0070003B"/>
    <w:rsid w:val="00700048"/>
    <w:rsid w:val="00701C9A"/>
    <w:rsid w:val="00702189"/>
    <w:rsid w:val="007024BD"/>
    <w:rsid w:val="00702C7B"/>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6D9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369"/>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74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46A27"/>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476B"/>
    <w:rsid w:val="008754B0"/>
    <w:rsid w:val="008758E6"/>
    <w:rsid w:val="008758F0"/>
    <w:rsid w:val="00875BF6"/>
    <w:rsid w:val="00875C50"/>
    <w:rsid w:val="0087634A"/>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5D0B"/>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342"/>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4FD9"/>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2762"/>
    <w:rsid w:val="009627BE"/>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332"/>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B58"/>
    <w:rsid w:val="009D54A7"/>
    <w:rsid w:val="009D5547"/>
    <w:rsid w:val="009D55B0"/>
    <w:rsid w:val="009D5BF8"/>
    <w:rsid w:val="009D6472"/>
    <w:rsid w:val="009D66F3"/>
    <w:rsid w:val="009D6D9B"/>
    <w:rsid w:val="009D7110"/>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2E35"/>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64C"/>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2EA2"/>
    <w:rsid w:val="00A13B65"/>
    <w:rsid w:val="00A14BC8"/>
    <w:rsid w:val="00A15748"/>
    <w:rsid w:val="00A16737"/>
    <w:rsid w:val="00A16BB4"/>
    <w:rsid w:val="00A1702B"/>
    <w:rsid w:val="00A1731C"/>
    <w:rsid w:val="00A17E18"/>
    <w:rsid w:val="00A2038F"/>
    <w:rsid w:val="00A2076A"/>
    <w:rsid w:val="00A2077C"/>
    <w:rsid w:val="00A211DD"/>
    <w:rsid w:val="00A215E3"/>
    <w:rsid w:val="00A22468"/>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4DCC"/>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5BC"/>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45"/>
    <w:rsid w:val="00AA48AC"/>
    <w:rsid w:val="00AA52C3"/>
    <w:rsid w:val="00AA535D"/>
    <w:rsid w:val="00AA56EA"/>
    <w:rsid w:val="00AA58EE"/>
    <w:rsid w:val="00AA6409"/>
    <w:rsid w:val="00AA6464"/>
    <w:rsid w:val="00AA753B"/>
    <w:rsid w:val="00AA75D5"/>
    <w:rsid w:val="00AB0730"/>
    <w:rsid w:val="00AB0D38"/>
    <w:rsid w:val="00AB3902"/>
    <w:rsid w:val="00AB397B"/>
    <w:rsid w:val="00AB39D9"/>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B7FFD"/>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CC0"/>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79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3C1"/>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AB1"/>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87D"/>
    <w:rsid w:val="00B62B12"/>
    <w:rsid w:val="00B62C93"/>
    <w:rsid w:val="00B63139"/>
    <w:rsid w:val="00B637C5"/>
    <w:rsid w:val="00B639B7"/>
    <w:rsid w:val="00B63E20"/>
    <w:rsid w:val="00B63E32"/>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0F36"/>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DA7"/>
    <w:rsid w:val="00C64EF6"/>
    <w:rsid w:val="00C65479"/>
    <w:rsid w:val="00C65EDD"/>
    <w:rsid w:val="00C664D2"/>
    <w:rsid w:val="00C6696F"/>
    <w:rsid w:val="00C6733F"/>
    <w:rsid w:val="00C67A16"/>
    <w:rsid w:val="00C70D70"/>
    <w:rsid w:val="00C7154D"/>
    <w:rsid w:val="00C717B8"/>
    <w:rsid w:val="00C71BAA"/>
    <w:rsid w:val="00C71C10"/>
    <w:rsid w:val="00C71EA2"/>
    <w:rsid w:val="00C7244E"/>
    <w:rsid w:val="00C72468"/>
    <w:rsid w:val="00C72FCF"/>
    <w:rsid w:val="00C73204"/>
    <w:rsid w:val="00C733C0"/>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7D4"/>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2E0C"/>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11DB"/>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64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4C13"/>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379"/>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B9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2E"/>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467D"/>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E5"/>
    <w:rsid w:val="00E164F5"/>
    <w:rsid w:val="00E16643"/>
    <w:rsid w:val="00E17160"/>
    <w:rsid w:val="00E17264"/>
    <w:rsid w:val="00E17B6F"/>
    <w:rsid w:val="00E22087"/>
    <w:rsid w:val="00E2233A"/>
    <w:rsid w:val="00E22519"/>
    <w:rsid w:val="00E22574"/>
    <w:rsid w:val="00E22F82"/>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C07"/>
    <w:rsid w:val="00E367B2"/>
    <w:rsid w:val="00E37644"/>
    <w:rsid w:val="00E37FB1"/>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B6"/>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5974"/>
    <w:rsid w:val="00E75F44"/>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D73"/>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012"/>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1E2B"/>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B30D5-C6E5-4656-978F-AED713AF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191</TotalTime>
  <Pages>2</Pages>
  <Words>752</Words>
  <Characters>4288</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8</cp:revision>
  <cp:lastPrinted>2014-08-09T03:01:00Z</cp:lastPrinted>
  <dcterms:created xsi:type="dcterms:W3CDTF">2019-10-04T05:21:00Z</dcterms:created>
  <dcterms:modified xsi:type="dcterms:W3CDTF">2020-02-14T05:23:00Z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